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78E" w:rsidRDefault="001F3B29">
      <w:pPr>
        <w:jc w:val="center"/>
        <w:rPr>
          <w:rFonts w:ascii="黑体" w:eastAsia="黑体" w:hAnsi="黑体" w:cs="黑体"/>
          <w:sz w:val="36"/>
          <w:szCs w:val="36"/>
        </w:rPr>
      </w:pPr>
      <w:r>
        <w:rPr>
          <w:rFonts w:ascii="黑体" w:eastAsia="黑体" w:hAnsi="黑体" w:cs="黑体" w:hint="eastAsia"/>
          <w:sz w:val="36"/>
          <w:szCs w:val="36"/>
        </w:rPr>
        <w:t>高县县域社会治理新型基础设施现代化建设信息化</w:t>
      </w:r>
    </w:p>
    <w:p w:rsidR="000C378E" w:rsidRDefault="001F3B29">
      <w:pPr>
        <w:jc w:val="center"/>
        <w:rPr>
          <w:rFonts w:ascii="黑体" w:eastAsia="黑体" w:hAnsi="黑体" w:cs="黑体"/>
          <w:sz w:val="36"/>
          <w:szCs w:val="36"/>
        </w:rPr>
      </w:pPr>
      <w:r>
        <w:rPr>
          <w:rFonts w:ascii="黑体" w:eastAsia="黑体" w:hAnsi="黑体" w:cs="黑体" w:hint="eastAsia"/>
          <w:sz w:val="36"/>
          <w:szCs w:val="36"/>
        </w:rPr>
        <w:t>项目情况</w:t>
      </w:r>
    </w:p>
    <w:p w:rsidR="000C378E" w:rsidRDefault="001F3B29" w:rsidP="00235AF0">
      <w:pPr>
        <w:numPr>
          <w:ilvl w:val="0"/>
          <w:numId w:val="1"/>
        </w:numPr>
        <w:spacing w:beforeLines="50" w:afterLines="50" w:line="360" w:lineRule="auto"/>
        <w:outlineLvl w:val="0"/>
        <w:rPr>
          <w:rFonts w:ascii="仿宋" w:eastAsia="仿宋" w:hAnsi="仿宋"/>
          <w:b/>
          <w:bCs/>
          <w:sz w:val="32"/>
          <w:szCs w:val="32"/>
        </w:rPr>
      </w:pPr>
      <w:bookmarkStart w:id="0" w:name="_Toc28110"/>
      <w:bookmarkStart w:id="1" w:name="_Toc9880"/>
      <w:r>
        <w:rPr>
          <w:rFonts w:ascii="仿宋" w:eastAsia="仿宋" w:hAnsi="仿宋" w:hint="eastAsia"/>
          <w:b/>
          <w:bCs/>
          <w:sz w:val="32"/>
          <w:szCs w:val="32"/>
        </w:rPr>
        <w:t>项目基本情况</w:t>
      </w:r>
      <w:bookmarkEnd w:id="0"/>
      <w:bookmarkEnd w:id="1"/>
    </w:p>
    <w:p w:rsidR="000C378E" w:rsidRDefault="001F3B29" w:rsidP="00235AF0">
      <w:pPr>
        <w:spacing w:beforeLines="50" w:afterLines="50" w:line="360" w:lineRule="auto"/>
        <w:rPr>
          <w:rFonts w:ascii="仿宋" w:eastAsia="仿宋" w:hAnsi="仿宋" w:cs="仿宋"/>
          <w:b/>
          <w:bCs/>
          <w:sz w:val="32"/>
          <w:szCs w:val="32"/>
        </w:rPr>
      </w:pPr>
      <w:bookmarkStart w:id="2" w:name="_Toc498385045"/>
      <w:bookmarkStart w:id="3" w:name="_Toc498385714"/>
      <w:bookmarkStart w:id="4" w:name="_Toc29323"/>
      <w:bookmarkStart w:id="5" w:name="_Toc29907"/>
      <w:r>
        <w:rPr>
          <w:rFonts w:ascii="仿宋" w:eastAsia="仿宋" w:hAnsi="仿宋" w:cs="仿宋" w:hint="eastAsia"/>
          <w:b/>
          <w:bCs/>
          <w:sz w:val="32"/>
          <w:szCs w:val="32"/>
        </w:rPr>
        <w:t>（一）</w:t>
      </w:r>
      <w:bookmarkEnd w:id="2"/>
      <w:bookmarkEnd w:id="3"/>
      <w:r>
        <w:rPr>
          <w:rFonts w:ascii="仿宋" w:eastAsia="仿宋" w:hAnsi="仿宋" w:cs="仿宋" w:hint="eastAsia"/>
          <w:b/>
          <w:bCs/>
          <w:sz w:val="32"/>
          <w:szCs w:val="32"/>
        </w:rPr>
        <w:t>市县及行业专项规划概况</w:t>
      </w:r>
      <w:bookmarkEnd w:id="4"/>
      <w:bookmarkEnd w:id="5"/>
    </w:p>
    <w:p w:rsidR="000C378E" w:rsidRDefault="001F3B29">
      <w:pPr>
        <w:spacing w:line="360" w:lineRule="auto"/>
        <w:ind w:firstLineChars="200" w:firstLine="640"/>
        <w:rPr>
          <w:rFonts w:ascii="仿宋" w:eastAsia="仿宋" w:hAnsi="仿宋" w:cs="仿宋"/>
          <w:kern w:val="0"/>
          <w:sz w:val="32"/>
          <w:szCs w:val="32"/>
        </w:rPr>
      </w:pPr>
      <w:bookmarkStart w:id="6" w:name="_Toc14591"/>
      <w:bookmarkStart w:id="7" w:name="_Toc9205"/>
      <w:r>
        <w:rPr>
          <w:rFonts w:ascii="仿宋" w:eastAsia="仿宋" w:hAnsi="仿宋" w:cs="仿宋" w:hint="eastAsia"/>
          <w:kern w:val="0"/>
          <w:sz w:val="32"/>
          <w:szCs w:val="32"/>
        </w:rPr>
        <w:t>高县位于四川盆地南缘，宜宾市中南部，地处北纬28°11′～28°47′与东经104°21′～104°48′之间，东邻长宁县、珙县，南界筠连县，西和西北接叙州区，东北连翠屏区，西南与云南省盐津县毗连。地形狭长，东西最大横距32千米，南北最大纵距61千米，全县辖区面积1323平方千米。地势南高北低，海拔274米～1252.1米。县城庆符镇，位于县境中部，距宜宾市中心城区35千米（宜庆路)。</w:t>
      </w:r>
    </w:p>
    <w:p w:rsidR="000C378E" w:rsidRDefault="001F3B29">
      <w:pPr>
        <w:spacing w:line="360"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2020年全县地区生产总值168.53亿元，比上年增长3.8。其中，第一产业增加值31.34亿元，增长6.0%;第二产业增加值62.78亿元，增长2.8%;第三产业增加值74.41亿元，增长3.6%。</w:t>
      </w:r>
    </w:p>
    <w:p w:rsidR="000C378E" w:rsidRDefault="001F3B29">
      <w:pPr>
        <w:spacing w:line="360"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市委五届八次全会审议通过了《中共宜宾市委关于坚定贯彻党的十九届四中全会和省委十一届六次全会精神全面</w:t>
      </w:r>
      <w:r>
        <w:rPr>
          <w:rFonts w:ascii="仿宋" w:eastAsia="仿宋" w:hAnsi="仿宋" w:cs="仿宋" w:hint="eastAsia"/>
          <w:kern w:val="0"/>
          <w:sz w:val="32"/>
          <w:szCs w:val="32"/>
        </w:rPr>
        <w:lastRenderedPageBreak/>
        <w:t>加强基层组织建设提升基层治理能力的决定》。明确要充分认识加强基层组织建设提升基层治理能力的重大意义，深化乡镇、村、街道、社区治理体制改革，完善激发基层经济发展活力的制度、完善统筹城乡的民生保障制度、完善共建共治共享的基层社会治理制度、完善基层文化繁荣发展的制度、完善为民惠民便民服务工作制度，要加大正向激励和基层权力监督。要强化组织保障，加强领导机制建设、基层人才支撑和财政资金投入。</w:t>
      </w:r>
    </w:p>
    <w:p w:rsidR="000C378E" w:rsidRDefault="001F3B29" w:rsidP="00235AF0">
      <w:pPr>
        <w:spacing w:beforeLines="50" w:afterLines="50" w:line="360" w:lineRule="auto"/>
        <w:rPr>
          <w:rFonts w:ascii="仿宋" w:eastAsia="仿宋" w:hAnsi="仿宋" w:cs="仿宋"/>
          <w:b/>
          <w:bCs/>
          <w:sz w:val="32"/>
          <w:szCs w:val="32"/>
        </w:rPr>
      </w:pPr>
      <w:r>
        <w:rPr>
          <w:rFonts w:ascii="仿宋" w:eastAsia="仿宋" w:hAnsi="仿宋" w:cs="仿宋" w:hint="eastAsia"/>
          <w:b/>
          <w:bCs/>
          <w:sz w:val="32"/>
          <w:szCs w:val="32"/>
        </w:rPr>
        <w:t>（二）项目情况</w:t>
      </w:r>
      <w:bookmarkEnd w:id="6"/>
      <w:bookmarkEnd w:id="7"/>
    </w:p>
    <w:p w:rsidR="000C378E" w:rsidRDefault="001F3B29" w:rsidP="00235AF0">
      <w:pPr>
        <w:spacing w:afterLines="50"/>
        <w:rPr>
          <w:rFonts w:ascii="仿宋" w:eastAsia="仿宋" w:hAnsi="仿宋" w:cs="仿宋"/>
          <w:b/>
          <w:bCs/>
          <w:sz w:val="32"/>
          <w:szCs w:val="32"/>
        </w:rPr>
      </w:pPr>
      <w:bookmarkStart w:id="8" w:name="_Toc30423"/>
      <w:bookmarkStart w:id="9" w:name="_Toc1720129"/>
      <w:bookmarkStart w:id="10" w:name="_Toc522211063"/>
      <w:bookmarkStart w:id="11" w:name="_Toc523481532"/>
      <w:bookmarkStart w:id="12" w:name="_Toc476"/>
      <w:bookmarkStart w:id="13" w:name="_Toc533440320"/>
      <w:r>
        <w:rPr>
          <w:rFonts w:ascii="仿宋" w:eastAsia="仿宋" w:hAnsi="仿宋" w:cs="仿宋" w:hint="eastAsia"/>
          <w:b/>
          <w:bCs/>
          <w:sz w:val="32"/>
          <w:szCs w:val="32"/>
        </w:rPr>
        <w:t>1.参与主体</w:t>
      </w:r>
      <w:bookmarkEnd w:id="8"/>
      <w:bookmarkEnd w:id="9"/>
      <w:bookmarkEnd w:id="10"/>
      <w:bookmarkEnd w:id="11"/>
      <w:bookmarkEnd w:id="12"/>
      <w:bookmarkEnd w:id="13"/>
    </w:p>
    <w:p w:rsidR="000C378E" w:rsidRDefault="001F3B29">
      <w:pPr>
        <w:snapToGrid w:val="0"/>
        <w:spacing w:line="360" w:lineRule="auto"/>
        <w:ind w:firstLineChars="200" w:firstLine="643"/>
        <w:rPr>
          <w:rFonts w:ascii="仿宋" w:eastAsia="仿宋" w:hAnsi="仿宋"/>
          <w:sz w:val="32"/>
          <w:szCs w:val="32"/>
        </w:rPr>
      </w:pPr>
      <w:r>
        <w:rPr>
          <w:rFonts w:ascii="仿宋" w:eastAsia="仿宋" w:hAnsi="仿宋" w:hint="eastAsia"/>
          <w:b/>
          <w:sz w:val="32"/>
          <w:szCs w:val="32"/>
        </w:rPr>
        <w:t xml:space="preserve">实施机构: </w:t>
      </w:r>
      <w:r>
        <w:rPr>
          <w:rFonts w:ascii="仿宋" w:eastAsia="仿宋" w:hAnsi="仿宋" w:hint="eastAsia"/>
          <w:sz w:val="32"/>
          <w:szCs w:val="32"/>
        </w:rPr>
        <w:t>中国共产党高县委员会政法委员会</w:t>
      </w:r>
    </w:p>
    <w:p w:rsidR="000C378E" w:rsidRDefault="001F3B29">
      <w:pPr>
        <w:snapToGrid w:val="0"/>
        <w:spacing w:line="360" w:lineRule="auto"/>
        <w:ind w:firstLineChars="200" w:firstLine="643"/>
        <w:rPr>
          <w:rFonts w:ascii="仿宋" w:eastAsia="仿宋" w:hAnsi="仿宋"/>
          <w:sz w:val="32"/>
          <w:szCs w:val="32"/>
        </w:rPr>
      </w:pPr>
      <w:r>
        <w:rPr>
          <w:rFonts w:ascii="仿宋" w:eastAsia="仿宋" w:hAnsi="仿宋" w:hint="eastAsia"/>
          <w:b/>
          <w:sz w:val="32"/>
          <w:szCs w:val="32"/>
        </w:rPr>
        <w:t>项目业主</w:t>
      </w:r>
      <w:r>
        <w:rPr>
          <w:rFonts w:ascii="仿宋" w:eastAsia="仿宋" w:hAnsi="仿宋" w:hint="eastAsia"/>
          <w:sz w:val="32"/>
          <w:szCs w:val="32"/>
        </w:rPr>
        <w:t>：高县城乡社会治理综合指挥服务中心</w:t>
      </w:r>
    </w:p>
    <w:p w:rsidR="000C378E" w:rsidRDefault="001F3B29" w:rsidP="00235AF0">
      <w:pPr>
        <w:spacing w:afterLines="50"/>
        <w:rPr>
          <w:rFonts w:ascii="仿宋" w:eastAsia="仿宋" w:hAnsi="仿宋" w:cs="仿宋"/>
          <w:b/>
          <w:bCs/>
          <w:sz w:val="32"/>
          <w:szCs w:val="32"/>
        </w:rPr>
      </w:pPr>
      <w:bookmarkStart w:id="14" w:name="_Toc12405"/>
      <w:bookmarkStart w:id="15" w:name="_Toc523481533"/>
      <w:bookmarkStart w:id="16" w:name="_Toc1720130"/>
      <w:bookmarkStart w:id="17" w:name="_Toc533440321"/>
      <w:bookmarkStart w:id="18" w:name="_Toc522211064"/>
      <w:bookmarkStart w:id="19" w:name="_Toc22662"/>
      <w:r>
        <w:rPr>
          <w:rFonts w:ascii="仿宋" w:eastAsia="仿宋" w:hAnsi="仿宋" w:cs="仿宋" w:hint="eastAsia"/>
          <w:b/>
          <w:bCs/>
          <w:sz w:val="32"/>
          <w:szCs w:val="32"/>
        </w:rPr>
        <w:t>2.项目概况</w:t>
      </w:r>
      <w:bookmarkEnd w:id="14"/>
      <w:bookmarkEnd w:id="15"/>
      <w:bookmarkEnd w:id="16"/>
      <w:bookmarkEnd w:id="17"/>
      <w:bookmarkEnd w:id="18"/>
      <w:bookmarkEnd w:id="19"/>
    </w:p>
    <w:p w:rsidR="000C378E" w:rsidRDefault="001F3B29">
      <w:pPr>
        <w:snapToGrid w:val="0"/>
        <w:spacing w:line="360" w:lineRule="auto"/>
        <w:ind w:leftChars="304" w:left="638"/>
        <w:rPr>
          <w:rFonts w:ascii="仿宋" w:eastAsia="仿宋" w:hAnsi="仿宋" w:cs="仿宋"/>
          <w:sz w:val="32"/>
          <w:szCs w:val="32"/>
        </w:rPr>
      </w:pPr>
      <w:r>
        <w:rPr>
          <w:rFonts w:ascii="仿宋" w:eastAsia="仿宋" w:hAnsi="仿宋" w:hint="eastAsia"/>
          <w:sz w:val="32"/>
          <w:szCs w:val="32"/>
        </w:rPr>
        <w:t>项目名称：高县县域社会治理新型基础设施现代化建设信息化项目</w:t>
      </w:r>
      <w:bookmarkStart w:id="20" w:name="_GoBack"/>
      <w:bookmarkEnd w:id="20"/>
    </w:p>
    <w:p w:rsidR="000C378E" w:rsidRDefault="001F3B29">
      <w:pPr>
        <w:snapToGrid w:val="0"/>
        <w:spacing w:line="360" w:lineRule="auto"/>
        <w:ind w:leftChars="304" w:left="638"/>
        <w:rPr>
          <w:rFonts w:ascii="仿宋" w:eastAsia="仿宋" w:hAnsi="仿宋" w:cs="仿宋"/>
          <w:sz w:val="32"/>
          <w:szCs w:val="32"/>
        </w:rPr>
      </w:pPr>
      <w:r>
        <w:rPr>
          <w:rFonts w:ascii="仿宋" w:eastAsia="仿宋" w:hAnsi="仿宋" w:cs="仿宋" w:hint="eastAsia"/>
          <w:sz w:val="32"/>
          <w:szCs w:val="32"/>
        </w:rPr>
        <w:t>所属领域：社会事业</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建设期：12个月</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项目性质：新建</w:t>
      </w:r>
    </w:p>
    <w:p w:rsidR="000C378E" w:rsidRDefault="001F3B29">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项目建设地址：高县</w:t>
      </w:r>
    </w:p>
    <w:p w:rsidR="000C378E" w:rsidRDefault="001F3B29">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lastRenderedPageBreak/>
        <w:t>项目说明：本项目不存在资产抵押和质押情况</w:t>
      </w:r>
    </w:p>
    <w:p w:rsidR="000C378E" w:rsidRDefault="001F3B29">
      <w:pPr>
        <w:pStyle w:val="a8"/>
        <w:widowControl/>
        <w:snapToGrid w:val="0"/>
        <w:spacing w:before="0" w:beforeAutospacing="0" w:after="0" w:afterAutospacing="0" w:line="360" w:lineRule="auto"/>
        <w:ind w:firstLineChars="200" w:firstLine="640"/>
        <w:jc w:val="both"/>
        <w:rPr>
          <w:rFonts w:ascii="仿宋" w:eastAsia="仿宋" w:hAnsi="仿宋" w:cs="仿宋"/>
          <w:bCs/>
          <w:kern w:val="2"/>
          <w:sz w:val="32"/>
          <w:szCs w:val="32"/>
        </w:rPr>
      </w:pPr>
      <w:r>
        <w:rPr>
          <w:rFonts w:ascii="仿宋" w:eastAsia="仿宋" w:hAnsi="仿宋" w:cs="仿宋" w:hint="eastAsia"/>
          <w:bCs/>
          <w:kern w:val="2"/>
          <w:sz w:val="32"/>
          <w:szCs w:val="32"/>
        </w:rPr>
        <w:t>建设内容与规模：本项目主要涉及高县大数据中心、城市综合治理管理平台及融媒体中心的建设，包括前端监控设备、云平台及应用体系的搭建。</w:t>
      </w:r>
    </w:p>
    <w:p w:rsidR="000C378E" w:rsidRDefault="001F3B29" w:rsidP="00235AF0">
      <w:pPr>
        <w:spacing w:beforeLines="50" w:afterLines="50" w:line="360" w:lineRule="auto"/>
        <w:outlineLvl w:val="0"/>
        <w:rPr>
          <w:rFonts w:ascii="仿宋" w:eastAsia="仿宋" w:hAnsi="仿宋"/>
          <w:b/>
          <w:bCs/>
          <w:sz w:val="32"/>
          <w:szCs w:val="32"/>
        </w:rPr>
      </w:pPr>
      <w:bookmarkStart w:id="21" w:name="_Toc1403"/>
      <w:bookmarkStart w:id="22" w:name="_Toc523481534"/>
      <w:bookmarkStart w:id="23" w:name="_Toc522211065"/>
      <w:bookmarkStart w:id="24" w:name="_Toc1720132"/>
      <w:bookmarkStart w:id="25" w:name="_Toc533440322"/>
      <w:r>
        <w:rPr>
          <w:rFonts w:ascii="仿宋" w:eastAsia="仿宋" w:hAnsi="仿宋" w:hint="eastAsia"/>
          <w:b/>
          <w:bCs/>
          <w:sz w:val="32"/>
          <w:szCs w:val="32"/>
        </w:rPr>
        <w:t>二、经济社会效益分析</w:t>
      </w:r>
      <w:bookmarkEnd w:id="21"/>
      <w:bookmarkEnd w:id="22"/>
      <w:bookmarkEnd w:id="23"/>
      <w:bookmarkEnd w:id="24"/>
      <w:bookmarkEnd w:id="25"/>
    </w:p>
    <w:p w:rsidR="000C378E" w:rsidRDefault="001F3B29" w:rsidP="00235AF0">
      <w:pPr>
        <w:snapToGrid w:val="0"/>
        <w:spacing w:beforeLines="50" w:afterLines="50" w:line="360" w:lineRule="auto"/>
        <w:rPr>
          <w:rFonts w:ascii="仿宋" w:eastAsia="仿宋" w:hAnsi="仿宋" w:cs="仿宋"/>
          <w:b/>
          <w:bCs/>
          <w:sz w:val="32"/>
          <w:szCs w:val="32"/>
        </w:rPr>
      </w:pPr>
      <w:bookmarkStart w:id="26" w:name="_Toc1720133"/>
      <w:bookmarkStart w:id="27" w:name="_Toc533440323"/>
      <w:bookmarkStart w:id="28" w:name="_Toc522211066"/>
      <w:bookmarkStart w:id="29" w:name="_Toc523481535"/>
      <w:bookmarkStart w:id="30" w:name="_Toc17794"/>
      <w:r>
        <w:rPr>
          <w:rFonts w:ascii="仿宋" w:eastAsia="仿宋" w:hAnsi="仿宋" w:cs="仿宋" w:hint="eastAsia"/>
          <w:b/>
          <w:bCs/>
          <w:sz w:val="32"/>
          <w:szCs w:val="32"/>
        </w:rPr>
        <w:t>（一）经济效益分析</w:t>
      </w:r>
      <w:bookmarkEnd w:id="26"/>
      <w:bookmarkEnd w:id="27"/>
      <w:bookmarkEnd w:id="28"/>
      <w:bookmarkEnd w:id="29"/>
      <w:bookmarkEnd w:id="30"/>
    </w:p>
    <w:p w:rsidR="000C378E" w:rsidRDefault="001F3B29">
      <w:pPr>
        <w:snapToGrid w:val="0"/>
        <w:spacing w:line="360" w:lineRule="auto"/>
        <w:ind w:firstLineChars="200" w:firstLine="640"/>
        <w:rPr>
          <w:rFonts w:ascii="仿宋" w:eastAsia="仿宋" w:hAnsi="仿宋" w:cs="仿宋"/>
          <w:sz w:val="32"/>
          <w:szCs w:val="32"/>
        </w:rPr>
      </w:pPr>
      <w:bookmarkStart w:id="31" w:name="_Toc1720136"/>
      <w:bookmarkStart w:id="32" w:name="_Toc533440326"/>
      <w:bookmarkStart w:id="33" w:name="_Toc523157055"/>
      <w:bookmarkStart w:id="34" w:name="_Toc523481538"/>
      <w:bookmarkStart w:id="35" w:name="_Toc23271"/>
      <w:r>
        <w:rPr>
          <w:rFonts w:ascii="仿宋" w:eastAsia="仿宋" w:hAnsi="仿宋" w:cs="仿宋" w:hint="eastAsia"/>
          <w:sz w:val="32"/>
          <w:szCs w:val="32"/>
        </w:rPr>
        <w:t>本项目的进一步推广可以实现对高县基层社会治理的智能管控，同时使各级部门及领导及时、高效地了解重点部位的现场情况，预防危险发生，提高应急处险能力，同时减少各个部门的重复巡查、重复处理工作，提升工作效率和水平。这都将对改善高县及各乡镇的技资环境，吸引外资，开发当地资源，发展工业经济，增加农业的产量，提高农副产品和工业产品质量等起到积极、有效的作用。因此，本项目所产生的间接经济效益将是巨大的。</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另外构建智慧城市，推进经济社会发展及城市管理智慧化，推进实体经济依托虚拟经济而提升，实现城市各个系统以及系统之间能够高效地协调运作，有利于提高经济社会发展效率和城市管理水平，有利于促进城市节能减排和绿色增长，进而促进城市的可持续发展。</w:t>
      </w:r>
    </w:p>
    <w:p w:rsidR="000C378E" w:rsidRDefault="001F3B29">
      <w:pPr>
        <w:snapToGrid w:val="0"/>
        <w:spacing w:line="360" w:lineRule="auto"/>
        <w:rPr>
          <w:rFonts w:ascii="仿宋" w:eastAsia="仿宋" w:hAnsi="仿宋"/>
          <w:b/>
          <w:bCs/>
          <w:sz w:val="32"/>
          <w:szCs w:val="32"/>
        </w:rPr>
      </w:pPr>
      <w:r>
        <w:rPr>
          <w:rFonts w:ascii="仿宋" w:eastAsia="仿宋" w:hAnsi="仿宋" w:cs="仿宋" w:hint="eastAsia"/>
          <w:sz w:val="32"/>
          <w:szCs w:val="32"/>
        </w:rPr>
        <w:t>（二）</w:t>
      </w:r>
      <w:r>
        <w:rPr>
          <w:rFonts w:ascii="仿宋" w:eastAsia="仿宋" w:hAnsi="仿宋" w:hint="eastAsia"/>
          <w:b/>
          <w:bCs/>
          <w:sz w:val="32"/>
          <w:szCs w:val="32"/>
        </w:rPr>
        <w:t>社会效益分析</w:t>
      </w:r>
      <w:bookmarkEnd w:id="31"/>
      <w:bookmarkEnd w:id="32"/>
      <w:bookmarkEnd w:id="33"/>
      <w:bookmarkEnd w:id="34"/>
      <w:bookmarkEnd w:id="35"/>
    </w:p>
    <w:p w:rsidR="000C378E" w:rsidRDefault="001F3B29" w:rsidP="00235AF0">
      <w:pPr>
        <w:spacing w:beforeLines="50" w:afterLines="50" w:line="360" w:lineRule="auto"/>
        <w:ind w:firstLineChars="200" w:firstLine="640"/>
        <w:outlineLvl w:val="0"/>
        <w:rPr>
          <w:rFonts w:ascii="仿宋" w:eastAsia="仿宋" w:hAnsi="仿宋" w:cs="仿宋"/>
          <w:sz w:val="32"/>
          <w:szCs w:val="32"/>
        </w:rPr>
      </w:pPr>
      <w:r>
        <w:rPr>
          <w:rFonts w:ascii="仿宋" w:eastAsia="仿宋" w:hAnsi="仿宋" w:cs="仿宋" w:hint="eastAsia"/>
          <w:sz w:val="32"/>
          <w:szCs w:val="32"/>
        </w:rPr>
        <w:t>充分运用5G、大数据、人工智能、区块链、物联网等科</w:t>
      </w:r>
      <w:r>
        <w:rPr>
          <w:rFonts w:ascii="仿宋" w:eastAsia="仿宋" w:hAnsi="仿宋" w:cs="仿宋" w:hint="eastAsia"/>
          <w:sz w:val="32"/>
          <w:szCs w:val="32"/>
        </w:rPr>
        <w:lastRenderedPageBreak/>
        <w:t>技支撑，以网格化服务管理和心连网为主要抓手和落脚点推进城乡基层治理制度创新和能力建设，拓宽群众参与基层治理渠道，提高基层群众服务水平。通过心联网服务体系搭建，彻底解决群众服务的渠道较多，分散不统一，信息不全，内容形式少的问题，逐步实现为基层群众提供精准化、精细化服务，为共建共治共享的社会治理制度奠定良好基础。</w:t>
      </w:r>
    </w:p>
    <w:p w:rsidR="000C378E" w:rsidRDefault="001F3B29" w:rsidP="00235AF0">
      <w:pPr>
        <w:spacing w:beforeLines="50" w:afterLines="50" w:line="360" w:lineRule="auto"/>
        <w:ind w:firstLineChars="200" w:firstLine="640"/>
        <w:outlineLvl w:val="0"/>
        <w:rPr>
          <w:rFonts w:ascii="仿宋" w:eastAsia="仿宋" w:hAnsi="仿宋" w:cs="仿宋"/>
          <w:sz w:val="32"/>
          <w:szCs w:val="32"/>
        </w:rPr>
      </w:pPr>
      <w:r>
        <w:rPr>
          <w:rFonts w:ascii="仿宋" w:eastAsia="仿宋" w:hAnsi="仿宋" w:cs="仿宋" w:hint="eastAsia"/>
          <w:sz w:val="32"/>
          <w:szCs w:val="32"/>
        </w:rPr>
        <w:t>对高县基层治理各种数据，进行汇总、分析，服务领导决策。负责对全县抢险、救援等突发情况的应急指挥工作。成立高县基层治理联动中心，承担“应急指挥中心+心连网服务中心+全科网格综治中心”的三个职责，配置专门工作人员，负责高县基层治理联动中心各项职能运转的业务协调机构，支撑各科局利用心连网服务系统、全科网格系统等业务平台提供面向群众的办事服务、信息发布及事件处置等。通过协调一致的调度指挥体系建设，充分整合现有资源，打造多维感知立体防控体系，实现基层社会治理全域可视、全域可控，提高基层社会治理应急指挥处置能力，提升整体联动效能，解决了目前资源整合不够、应用联动难、工作协调机制不足的问题，实现高县的基层治理决策体系智能化、联</w:t>
      </w:r>
      <w:r>
        <w:rPr>
          <w:rFonts w:ascii="仿宋" w:eastAsia="仿宋" w:hAnsi="仿宋" w:cs="仿宋" w:hint="eastAsia"/>
          <w:sz w:val="32"/>
          <w:szCs w:val="32"/>
        </w:rPr>
        <w:lastRenderedPageBreak/>
        <w:t>动化、信息化。</w:t>
      </w:r>
    </w:p>
    <w:p w:rsidR="000C378E" w:rsidRDefault="001F3B29" w:rsidP="00235AF0">
      <w:pPr>
        <w:spacing w:beforeLines="50" w:afterLines="50" w:line="360" w:lineRule="auto"/>
        <w:outlineLvl w:val="0"/>
        <w:rPr>
          <w:rFonts w:ascii="仿宋" w:eastAsia="仿宋" w:hAnsi="仿宋"/>
          <w:b/>
          <w:bCs/>
          <w:color w:val="000000"/>
          <w:sz w:val="32"/>
          <w:szCs w:val="32"/>
        </w:rPr>
      </w:pPr>
      <w:r>
        <w:rPr>
          <w:rFonts w:ascii="仿宋" w:eastAsia="仿宋" w:hAnsi="仿宋" w:hint="eastAsia"/>
          <w:b/>
          <w:bCs/>
          <w:color w:val="000000"/>
          <w:sz w:val="32"/>
          <w:szCs w:val="32"/>
        </w:rPr>
        <w:t>三、项目投资估算与资金筹措方案</w:t>
      </w:r>
    </w:p>
    <w:p w:rsidR="000C378E" w:rsidRDefault="001F3B29">
      <w:pPr>
        <w:pStyle w:val="2"/>
        <w:ind w:leftChars="0" w:left="0" w:firstLineChars="0" w:firstLine="0"/>
        <w:rPr>
          <w:rFonts w:ascii="仿宋" w:eastAsia="仿宋" w:hAnsi="仿宋"/>
          <w:b/>
          <w:bCs/>
          <w:sz w:val="32"/>
          <w:szCs w:val="32"/>
        </w:rPr>
      </w:pPr>
      <w:r>
        <w:rPr>
          <w:rFonts w:ascii="仿宋" w:eastAsia="仿宋" w:hAnsi="仿宋" w:hint="eastAsia"/>
          <w:b/>
          <w:bCs/>
          <w:sz w:val="32"/>
          <w:szCs w:val="32"/>
        </w:rPr>
        <w:t>（一）投资估算</w:t>
      </w:r>
    </w:p>
    <w:p w:rsidR="000C378E" w:rsidRDefault="001F3B29">
      <w:pPr>
        <w:pStyle w:val="2"/>
        <w:spacing w:after="0"/>
        <w:ind w:leftChars="0" w:left="0" w:firstLine="640"/>
        <w:rPr>
          <w:rFonts w:ascii="仿宋" w:eastAsia="仿宋" w:hAnsi="仿宋" w:cs="仿宋"/>
          <w:sz w:val="32"/>
          <w:szCs w:val="32"/>
        </w:rPr>
      </w:pPr>
      <w:r>
        <w:rPr>
          <w:rFonts w:ascii="仿宋" w:eastAsia="仿宋" w:hAnsi="仿宋" w:cs="仿宋" w:hint="eastAsia"/>
          <w:sz w:val="32"/>
          <w:szCs w:val="32"/>
        </w:rPr>
        <w:t>本项目建设动态投资总额为23000.00万元，其中，建安工程费16839.00万元，占总投资的73.21%，工程建设其他费用3416.00万元，占总投资的14.85%，基本预备费2025.00万元，占总投资的8.80%。建设期利息720.00万元，占总投资的3.13%。</w:t>
      </w:r>
    </w:p>
    <w:p w:rsidR="000C378E" w:rsidRDefault="001F3B29">
      <w:pPr>
        <w:pStyle w:val="2"/>
        <w:ind w:leftChars="0" w:left="0" w:firstLineChars="39" w:firstLine="125"/>
        <w:rPr>
          <w:rFonts w:ascii="仿宋" w:eastAsia="仿宋" w:hAnsi="仿宋"/>
          <w:b/>
          <w:bCs/>
          <w:sz w:val="32"/>
          <w:szCs w:val="32"/>
        </w:rPr>
      </w:pPr>
      <w:r>
        <w:rPr>
          <w:rFonts w:ascii="仿宋" w:eastAsia="仿宋" w:hAnsi="仿宋" w:hint="eastAsia"/>
          <w:b/>
          <w:bCs/>
          <w:sz w:val="32"/>
          <w:szCs w:val="32"/>
        </w:rPr>
        <w:t>(二)资金筹措方案</w:t>
      </w:r>
    </w:p>
    <w:p w:rsidR="000C378E" w:rsidRDefault="001F3B29">
      <w:pPr>
        <w:snapToGrid w:val="0"/>
        <w:spacing w:line="360" w:lineRule="auto"/>
        <w:ind w:firstLineChars="200" w:firstLine="643"/>
        <w:rPr>
          <w:rFonts w:ascii="仿宋" w:eastAsia="仿宋" w:hAnsi="仿宋"/>
          <w:b/>
          <w:bCs/>
          <w:sz w:val="32"/>
          <w:szCs w:val="32"/>
        </w:rPr>
      </w:pPr>
      <w:bookmarkStart w:id="36" w:name="_Toc523157067"/>
      <w:bookmarkStart w:id="37" w:name="_Toc522211083"/>
      <w:bookmarkStart w:id="38" w:name="_Toc533440340"/>
      <w:bookmarkStart w:id="39" w:name="_Toc19703"/>
      <w:bookmarkStart w:id="40" w:name="_Toc523481547"/>
      <w:bookmarkStart w:id="41" w:name="_Toc20821"/>
      <w:bookmarkStart w:id="42" w:name="_Toc1720150"/>
      <w:r>
        <w:rPr>
          <w:rFonts w:ascii="仿宋" w:eastAsia="仿宋" w:hAnsi="仿宋" w:cs="仿宋" w:hint="eastAsia"/>
          <w:b/>
          <w:sz w:val="32"/>
          <w:szCs w:val="32"/>
        </w:rPr>
        <w:t>1.资金来源</w:t>
      </w:r>
      <w:bookmarkEnd w:id="36"/>
      <w:bookmarkEnd w:id="37"/>
      <w:bookmarkEnd w:id="38"/>
      <w:bookmarkEnd w:id="39"/>
      <w:bookmarkEnd w:id="40"/>
      <w:bookmarkEnd w:id="41"/>
      <w:bookmarkEnd w:id="42"/>
    </w:p>
    <w:p w:rsidR="000C378E" w:rsidRDefault="001F3B29">
      <w:pPr>
        <w:snapToGrid w:val="0"/>
        <w:spacing w:line="360" w:lineRule="auto"/>
        <w:ind w:firstLineChars="200" w:firstLine="640"/>
        <w:rPr>
          <w:rFonts w:ascii="仿宋" w:eastAsia="仿宋" w:hAnsi="仿宋" w:cs="仿宋"/>
          <w:sz w:val="32"/>
          <w:szCs w:val="32"/>
        </w:rPr>
      </w:pPr>
      <w:bookmarkStart w:id="43" w:name="_Toc523157069"/>
      <w:bookmarkStart w:id="44" w:name="_Toc25776"/>
      <w:bookmarkStart w:id="45" w:name="_Toc1720152"/>
      <w:bookmarkStart w:id="46" w:name="_Toc533440342"/>
      <w:bookmarkStart w:id="47" w:name="_Toc523481549"/>
      <w:r>
        <w:rPr>
          <w:rFonts w:ascii="仿宋" w:eastAsia="仿宋" w:hAnsi="仿宋" w:cs="仿宋" w:hint="eastAsia"/>
          <w:sz w:val="32"/>
          <w:szCs w:val="32"/>
        </w:rPr>
        <w:t>资本金来源：资本金均来源于财政资金,项目资本金5000.00万元，占项目总投资的21.73%，并纳入年度预算予以拨付。</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融资来源：本项目拟发行政府专项债券总额为18000.00万元，占总投资的78.27%。</w:t>
      </w:r>
    </w:p>
    <w:p w:rsidR="000C378E" w:rsidRDefault="001F3B29">
      <w:pPr>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2.资金使用计划</w:t>
      </w:r>
      <w:bookmarkEnd w:id="43"/>
      <w:bookmarkEnd w:id="44"/>
      <w:bookmarkEnd w:id="45"/>
      <w:bookmarkEnd w:id="46"/>
      <w:bookmarkEnd w:id="47"/>
    </w:p>
    <w:p w:rsidR="000C378E" w:rsidRDefault="001F3B29">
      <w:pPr>
        <w:snapToGrid w:val="0"/>
        <w:spacing w:line="360" w:lineRule="auto"/>
        <w:ind w:firstLineChars="200" w:firstLine="640"/>
        <w:rPr>
          <w:rFonts w:ascii="仿宋" w:eastAsia="仿宋" w:hAnsi="仿宋" w:cs="仿宋"/>
          <w:b/>
          <w:bCs/>
          <w:sz w:val="28"/>
          <w:szCs w:val="28"/>
        </w:rPr>
      </w:pPr>
      <w:r>
        <w:rPr>
          <w:rFonts w:ascii="仿宋" w:eastAsia="仿宋" w:hAnsi="仿宋" w:cs="仿宋" w:hint="eastAsia"/>
          <w:sz w:val="32"/>
          <w:szCs w:val="32"/>
        </w:rPr>
        <w:t>项目所筹资金将根据项目实施计划和实时建设进度来进行合理分配，且将全部投资于本项目，具体数额应当根据进度支出。在保证项目工程投资资金充足的情况下，充分利</w:t>
      </w:r>
      <w:r>
        <w:rPr>
          <w:rFonts w:ascii="仿宋" w:eastAsia="仿宋" w:hAnsi="仿宋" w:cs="仿宋" w:hint="eastAsia"/>
          <w:sz w:val="32"/>
          <w:szCs w:val="32"/>
        </w:rPr>
        <w:lastRenderedPageBreak/>
        <w:t>用且不浪费当年度专项债券融资额度。按照建设进度，总投资计划分1个年度投入。</w:t>
      </w:r>
    </w:p>
    <w:p w:rsidR="000C378E" w:rsidRDefault="001F3B29" w:rsidP="00235AF0">
      <w:pPr>
        <w:spacing w:beforeLines="50" w:afterLines="50" w:line="360" w:lineRule="auto"/>
        <w:outlineLvl w:val="0"/>
        <w:rPr>
          <w:rFonts w:ascii="仿宋" w:eastAsia="仿宋" w:hAnsi="仿宋"/>
          <w:b/>
          <w:bCs/>
          <w:sz w:val="32"/>
          <w:szCs w:val="32"/>
        </w:rPr>
      </w:pPr>
      <w:bookmarkStart w:id="48" w:name="_Toc11843"/>
      <w:bookmarkStart w:id="49" w:name="_Toc18388"/>
      <w:r>
        <w:rPr>
          <w:rFonts w:ascii="仿宋" w:eastAsia="仿宋" w:hAnsi="仿宋" w:hint="eastAsia"/>
          <w:b/>
          <w:bCs/>
          <w:sz w:val="32"/>
          <w:szCs w:val="32"/>
        </w:rPr>
        <w:t>四、项目预期收益、成本及融资平衡情况</w:t>
      </w:r>
      <w:bookmarkEnd w:id="48"/>
      <w:bookmarkEnd w:id="49"/>
    </w:p>
    <w:p w:rsidR="000C378E" w:rsidRDefault="001F3B29" w:rsidP="00235AF0">
      <w:pPr>
        <w:spacing w:beforeLines="50" w:afterLines="50" w:line="360" w:lineRule="auto"/>
        <w:rPr>
          <w:rFonts w:ascii="仿宋" w:eastAsia="仿宋" w:hAnsi="仿宋"/>
          <w:b/>
          <w:bCs/>
          <w:sz w:val="32"/>
          <w:szCs w:val="32"/>
        </w:rPr>
      </w:pPr>
      <w:r>
        <w:rPr>
          <w:rFonts w:ascii="仿宋" w:eastAsia="仿宋" w:hAnsi="仿宋" w:hint="eastAsia"/>
          <w:b/>
          <w:bCs/>
          <w:sz w:val="32"/>
          <w:szCs w:val="32"/>
        </w:rPr>
        <w:t>（一）预期收益</w:t>
      </w:r>
    </w:p>
    <w:p w:rsidR="000C378E" w:rsidRDefault="001F3B29" w:rsidP="00235AF0">
      <w:pPr>
        <w:spacing w:beforeLines="50" w:afterLines="50" w:line="360" w:lineRule="auto"/>
        <w:rPr>
          <w:rFonts w:ascii="仿宋" w:eastAsia="仿宋" w:hAnsi="仿宋"/>
          <w:b/>
          <w:bCs/>
          <w:sz w:val="32"/>
          <w:szCs w:val="32"/>
        </w:rPr>
      </w:pPr>
      <w:r>
        <w:rPr>
          <w:rFonts w:ascii="仿宋" w:eastAsia="仿宋" w:hAnsi="仿宋" w:hint="eastAsia"/>
          <w:b/>
          <w:bCs/>
          <w:sz w:val="32"/>
          <w:szCs w:val="32"/>
        </w:rPr>
        <w:t>1.项目收入预测</w:t>
      </w:r>
    </w:p>
    <w:p w:rsidR="000C378E" w:rsidRDefault="001F3B29">
      <w:pPr>
        <w:spacing w:line="360" w:lineRule="auto"/>
        <w:ind w:firstLineChars="200" w:firstLine="640"/>
        <w:rPr>
          <w:rFonts w:ascii="仿宋_GB2312" w:eastAsia="仿宋_GB2312" w:hAnsi="Times New Roman"/>
          <w:sz w:val="32"/>
          <w:szCs w:val="32"/>
          <w:lang w:val="en-GB"/>
        </w:rPr>
      </w:pPr>
      <w:r>
        <w:rPr>
          <w:rFonts w:ascii="仿宋_GB2312" w:eastAsia="仿宋_GB2312" w:hAnsi="Times New Roman" w:hint="eastAsia"/>
          <w:sz w:val="32"/>
          <w:szCs w:val="32"/>
          <w:lang w:val="en-GB"/>
        </w:rPr>
        <w:t>本项目收入全部为项目本身产生的专项收入，项目收入主要包括高县大数据中心及城市综合治理管理平台收入、社区综合治理服务系统收入、融媒体平台服务费。</w:t>
      </w:r>
    </w:p>
    <w:p w:rsidR="000C378E" w:rsidRDefault="001F3B29">
      <w:pPr>
        <w:spacing w:line="360" w:lineRule="auto"/>
        <w:ind w:firstLineChars="200" w:firstLine="640"/>
        <w:rPr>
          <w:rFonts w:ascii="仿宋_GB2312" w:eastAsia="仿宋_GB2312" w:hAnsi="Times New Roman"/>
          <w:sz w:val="32"/>
          <w:szCs w:val="32"/>
          <w:lang w:val="en-GB"/>
        </w:rPr>
      </w:pPr>
      <w:r>
        <w:rPr>
          <w:rFonts w:ascii="仿宋_GB2312" w:eastAsia="仿宋_GB2312" w:hAnsi="Times New Roman" w:hint="eastAsia"/>
          <w:sz w:val="32"/>
          <w:szCs w:val="32"/>
          <w:lang w:val="en-GB"/>
        </w:rPr>
        <w:t>经计算，项目计算期内预计总收入为</w:t>
      </w:r>
      <w:r>
        <w:rPr>
          <w:rFonts w:ascii="仿宋" w:eastAsia="仿宋" w:hAnsi="仿宋" w:cs="仿宋" w:hint="eastAsia"/>
          <w:bCs/>
          <w:sz w:val="32"/>
          <w:szCs w:val="32"/>
        </w:rPr>
        <w:t>51241.99</w:t>
      </w:r>
      <w:r>
        <w:rPr>
          <w:rFonts w:ascii="仿宋_GB2312" w:eastAsia="仿宋_GB2312" w:hAnsi="Times New Roman" w:hint="eastAsia"/>
          <w:sz w:val="32"/>
          <w:szCs w:val="32"/>
          <w:lang w:val="en-GB"/>
        </w:rPr>
        <w:t>万元。</w:t>
      </w:r>
    </w:p>
    <w:p w:rsidR="000C378E" w:rsidRDefault="001F3B29">
      <w:pPr>
        <w:pStyle w:val="a0"/>
        <w:spacing w:line="360" w:lineRule="auto"/>
        <w:ind w:leftChars="0" w:firstLine="105"/>
        <w:jc w:val="left"/>
      </w:pPr>
      <w:r>
        <w:rPr>
          <w:rFonts w:ascii="仿宋" w:eastAsia="仿宋" w:hAnsi="仿宋" w:hint="eastAsia"/>
          <w:b/>
          <w:bCs/>
          <w:sz w:val="32"/>
          <w:szCs w:val="32"/>
        </w:rPr>
        <w:t>2、成本预测</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本项目成本包括工资及福利费、燃料及动力费、维修和保养费、管理费用、固定资产折旧费、财务费用、税金及附加。</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综上所述，经计算可知，本项目预测期成本费用为</w:t>
      </w:r>
      <w:r>
        <w:rPr>
          <w:rFonts w:ascii="仿宋" w:eastAsia="仿宋" w:hAnsi="仿宋" w:cs="仿宋"/>
          <w:sz w:val="32"/>
          <w:szCs w:val="32"/>
        </w:rPr>
        <w:t>47143.76</w:t>
      </w:r>
      <w:r>
        <w:rPr>
          <w:rFonts w:ascii="仿宋" w:eastAsia="仿宋" w:hAnsi="仿宋" w:cs="仿宋" w:hint="eastAsia"/>
          <w:sz w:val="32"/>
          <w:szCs w:val="32"/>
        </w:rPr>
        <w:t>万元。</w:t>
      </w:r>
    </w:p>
    <w:p w:rsidR="000C378E" w:rsidRDefault="001F3B29" w:rsidP="00235AF0">
      <w:pPr>
        <w:spacing w:beforeLines="50" w:afterLines="50" w:line="360" w:lineRule="auto"/>
        <w:rPr>
          <w:rFonts w:ascii="仿宋" w:eastAsia="仿宋" w:hAnsi="仿宋"/>
          <w:b/>
          <w:bCs/>
          <w:sz w:val="32"/>
          <w:szCs w:val="32"/>
        </w:rPr>
      </w:pPr>
      <w:r>
        <w:rPr>
          <w:rFonts w:ascii="仿宋" w:eastAsia="仿宋" w:hAnsi="仿宋" w:hint="eastAsia"/>
          <w:b/>
          <w:bCs/>
          <w:sz w:val="32"/>
          <w:szCs w:val="32"/>
        </w:rPr>
        <w:t>（二）资金测算平衡情况</w:t>
      </w:r>
    </w:p>
    <w:p w:rsidR="000C378E" w:rsidRDefault="001F3B29">
      <w:pPr>
        <w:ind w:firstLineChars="200" w:firstLine="640"/>
        <w:rPr>
          <w:rFonts w:ascii="Times New Roman" w:eastAsia="仿宋" w:hAnsi="Times New Roman"/>
          <w:sz w:val="32"/>
          <w:szCs w:val="32"/>
        </w:rPr>
        <w:sectPr w:rsidR="000C378E">
          <w:headerReference w:type="default" r:id="rId8"/>
          <w:pgSz w:w="11906" w:h="16838"/>
          <w:pgMar w:top="1440" w:right="1803" w:bottom="1440" w:left="1803" w:header="964" w:footer="992" w:gutter="0"/>
          <w:cols w:space="720"/>
          <w:docGrid w:type="lines" w:linePitch="381"/>
        </w:sectPr>
      </w:pPr>
      <w:r>
        <w:rPr>
          <w:rFonts w:ascii="仿宋" w:eastAsia="仿宋" w:hAnsi="仿宋" w:cs="仿宋" w:hint="eastAsia"/>
          <w:bCs/>
          <w:sz w:val="32"/>
          <w:szCs w:val="32"/>
        </w:rPr>
        <w:t>若项目在满足上述资金筹集计划、项目实施计划、资金使用计划及预期收益的的假设前提下，本项目截止政府专项</w:t>
      </w:r>
      <w:r>
        <w:rPr>
          <w:rFonts w:ascii="仿宋" w:eastAsia="仿宋" w:hAnsi="仿宋" w:cs="仿宋" w:hint="eastAsia"/>
          <w:bCs/>
          <w:sz w:val="32"/>
          <w:szCs w:val="32"/>
        </w:rPr>
        <w:lastRenderedPageBreak/>
        <w:t>债到期日累计资金结余6923.67万元，期间不存在资金缺口。</w:t>
      </w:r>
    </w:p>
    <w:p w:rsidR="000C378E" w:rsidRDefault="001F3B29">
      <w:pPr>
        <w:snapToGrid w:val="0"/>
        <w:spacing w:line="0" w:lineRule="atLeast"/>
        <w:jc w:val="center"/>
        <w:rPr>
          <w:rFonts w:ascii="仿宋" w:eastAsia="仿宋" w:hAnsi="仿宋" w:cs="仿宋"/>
          <w:b/>
          <w:bCs/>
          <w:sz w:val="28"/>
          <w:szCs w:val="28"/>
        </w:rPr>
      </w:pPr>
      <w:r>
        <w:rPr>
          <w:rFonts w:ascii="仿宋" w:eastAsia="仿宋" w:hAnsi="仿宋" w:cs="仿宋" w:hint="eastAsia"/>
          <w:b/>
          <w:bCs/>
          <w:sz w:val="28"/>
          <w:szCs w:val="28"/>
        </w:rPr>
        <w:lastRenderedPageBreak/>
        <w:t>资金测算平衡表</w:t>
      </w:r>
    </w:p>
    <w:p w:rsidR="000C378E" w:rsidRDefault="001F3B29">
      <w:pPr>
        <w:snapToGrid w:val="0"/>
        <w:spacing w:line="0" w:lineRule="atLeast"/>
        <w:jc w:val="right"/>
        <w:rPr>
          <w:rFonts w:ascii="仿宋" w:eastAsia="仿宋" w:hAnsi="仿宋" w:cs="仿宋"/>
          <w:b/>
          <w:bCs/>
          <w:sz w:val="28"/>
          <w:szCs w:val="28"/>
        </w:rPr>
      </w:pPr>
      <w:r>
        <w:rPr>
          <w:rFonts w:ascii="仿宋" w:eastAsia="仿宋" w:hAnsi="仿宋" w:cs="仿宋" w:hint="eastAsia"/>
          <w:b/>
          <w:bCs/>
          <w:sz w:val="28"/>
          <w:szCs w:val="28"/>
        </w:rPr>
        <w:t>单位：万元</w:t>
      </w:r>
    </w:p>
    <w:p w:rsidR="000C378E" w:rsidRDefault="001F3B29">
      <w:pPr>
        <w:pStyle w:val="3"/>
      </w:pPr>
      <w:r>
        <w:rPr>
          <w:noProof/>
        </w:rPr>
        <w:drawing>
          <wp:inline distT="0" distB="0" distL="114300" distR="114300">
            <wp:extent cx="9766935" cy="3660775"/>
            <wp:effectExtent l="0" t="0" r="5715" b="158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9" cstate="print"/>
                    <a:stretch>
                      <a:fillRect/>
                    </a:stretch>
                  </pic:blipFill>
                  <pic:spPr>
                    <a:xfrm>
                      <a:off x="0" y="0"/>
                      <a:ext cx="9766935" cy="3660775"/>
                    </a:xfrm>
                    <a:prstGeom prst="rect">
                      <a:avLst/>
                    </a:prstGeom>
                    <a:noFill/>
                    <a:ln>
                      <a:noFill/>
                    </a:ln>
                  </pic:spPr>
                </pic:pic>
              </a:graphicData>
            </a:graphic>
          </wp:inline>
        </w:drawing>
      </w:r>
    </w:p>
    <w:p w:rsidR="000C378E" w:rsidRDefault="000C378E">
      <w:pPr>
        <w:snapToGrid w:val="0"/>
        <w:spacing w:line="360" w:lineRule="auto"/>
        <w:ind w:firstLineChars="200" w:firstLine="420"/>
      </w:pPr>
    </w:p>
    <w:p w:rsidR="000C378E" w:rsidRDefault="000C378E">
      <w:pPr>
        <w:pStyle w:val="2"/>
        <w:ind w:leftChars="0" w:left="0" w:firstLineChars="0" w:firstLine="0"/>
        <w:sectPr w:rsidR="000C378E">
          <w:pgSz w:w="16838" w:h="11906" w:orient="landscape"/>
          <w:pgMar w:top="720" w:right="720" w:bottom="720" w:left="720" w:header="851" w:footer="992" w:gutter="0"/>
          <w:cols w:space="720"/>
          <w:docGrid w:type="lines" w:linePitch="312"/>
        </w:sectPr>
      </w:pPr>
    </w:p>
    <w:p w:rsidR="000C378E" w:rsidRDefault="001F3B29">
      <w:pPr>
        <w:snapToGrid w:val="0"/>
        <w:spacing w:line="360" w:lineRule="auto"/>
        <w:outlineLvl w:val="0"/>
        <w:rPr>
          <w:rFonts w:ascii="仿宋" w:eastAsia="仿宋" w:hAnsi="仿宋" w:cs="仿宋"/>
          <w:b/>
          <w:bCs/>
          <w:sz w:val="32"/>
          <w:szCs w:val="32"/>
        </w:rPr>
      </w:pPr>
      <w:r>
        <w:rPr>
          <w:rFonts w:ascii="仿宋" w:eastAsia="仿宋" w:hAnsi="仿宋" w:cs="仿宋" w:hint="eastAsia"/>
          <w:b/>
          <w:bCs/>
          <w:sz w:val="32"/>
          <w:szCs w:val="32"/>
        </w:rPr>
        <w:lastRenderedPageBreak/>
        <w:t>五、项目绩效目标</w:t>
      </w:r>
    </w:p>
    <w:p w:rsidR="000C378E" w:rsidRDefault="001F3B29">
      <w:pPr>
        <w:ind w:firstLineChars="200" w:firstLine="640"/>
        <w:rPr>
          <w:rFonts w:ascii="仿宋_GB2312" w:eastAsia="仿宋_GB2312" w:hAnsi="Times New Roman"/>
          <w:sz w:val="32"/>
          <w:szCs w:val="32"/>
        </w:rPr>
      </w:pPr>
      <w:bookmarkStart w:id="50" w:name="_Toc22004_WPSOffice_Level2"/>
      <w:r>
        <w:rPr>
          <w:rFonts w:ascii="仿宋_GB2312" w:eastAsia="仿宋_GB2312" w:hAnsi="Times New Roman" w:hint="eastAsia"/>
          <w:sz w:val="32"/>
          <w:szCs w:val="32"/>
        </w:rPr>
        <w:t>数量目标：建成高县大数据中心、城市综合治理管理平台及融媒体中心的建设，包括前端监控设备、云平台及应用体系的搭建。</w:t>
      </w:r>
    </w:p>
    <w:p w:rsidR="000C378E" w:rsidRDefault="001F3B29">
      <w:pPr>
        <w:ind w:firstLineChars="200" w:firstLine="640"/>
        <w:rPr>
          <w:rFonts w:ascii="仿宋" w:eastAsia="仿宋" w:hAnsi="仿宋" w:cs="仿宋"/>
          <w:sz w:val="32"/>
          <w:szCs w:val="32"/>
        </w:rPr>
      </w:pPr>
      <w:r>
        <w:rPr>
          <w:rFonts w:ascii="仿宋_GB2312" w:eastAsia="仿宋_GB2312" w:hAnsi="Times New Roman" w:hint="eastAsia"/>
          <w:sz w:val="32"/>
          <w:szCs w:val="32"/>
        </w:rPr>
        <w:t>质量目标：符合验收标准，达到行业基准标准。</w:t>
      </w:r>
    </w:p>
    <w:p w:rsidR="000C378E" w:rsidRDefault="001F3B29">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时效</w:t>
      </w:r>
      <w:bookmarkEnd w:id="50"/>
      <w:r>
        <w:rPr>
          <w:rFonts w:ascii="仿宋" w:eastAsia="仿宋" w:hAnsi="仿宋" w:cs="仿宋" w:hint="eastAsia"/>
          <w:sz w:val="32"/>
          <w:szCs w:val="32"/>
        </w:rPr>
        <w:t>目标：债券发行期为15年。债券15年内还本付息，可根据项目实施及收益情况提前还本付息。</w:t>
      </w:r>
      <w:bookmarkStart w:id="51" w:name="_Toc6776_WPSOffice_Level2"/>
    </w:p>
    <w:p w:rsidR="000C378E" w:rsidRDefault="001F3B29">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经济效益</w:t>
      </w:r>
      <w:bookmarkEnd w:id="51"/>
      <w:r>
        <w:rPr>
          <w:rFonts w:ascii="仿宋" w:eastAsia="仿宋" w:hAnsi="仿宋" w:cs="仿宋" w:hint="eastAsia"/>
          <w:sz w:val="32"/>
          <w:szCs w:val="32"/>
        </w:rPr>
        <w:t>目标：</w:t>
      </w:r>
      <w:bookmarkStart w:id="52" w:name="_Toc14310_WPSOffice_Level2"/>
      <w:r>
        <w:rPr>
          <w:rFonts w:ascii="仿宋" w:eastAsia="仿宋" w:hAnsi="仿宋" w:cs="仿宋" w:hint="eastAsia"/>
          <w:sz w:val="32"/>
          <w:szCs w:val="32"/>
        </w:rPr>
        <w:t>通过获取项目收入，实现收益和融资自求平衡，增加地方财政收入，提升财政支出能力。项目建设完成后的15年运营计算期内，累计现金结余</w:t>
      </w:r>
      <w:r>
        <w:rPr>
          <w:rFonts w:ascii="仿宋" w:eastAsia="仿宋" w:hAnsi="仿宋" w:cs="仿宋" w:hint="eastAsia"/>
          <w:bCs/>
          <w:sz w:val="32"/>
          <w:szCs w:val="32"/>
        </w:rPr>
        <w:t>6923.67</w:t>
      </w:r>
      <w:r>
        <w:rPr>
          <w:rFonts w:ascii="仿宋" w:eastAsia="仿宋" w:hAnsi="仿宋" w:cs="仿宋" w:hint="eastAsia"/>
          <w:sz w:val="32"/>
          <w:szCs w:val="32"/>
        </w:rPr>
        <w:t>万元，可用于资金平衡的项目净收益（息前净现金流）为 35003.67万元，其中，将用于偿还政府专项债的专项收入51241.99万元纳入政府性基金管理，政府专项债券收益覆盖倍数为1.22倍。</w:t>
      </w:r>
    </w:p>
    <w:p w:rsidR="000C378E" w:rsidRDefault="001F3B29">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社会效益</w:t>
      </w:r>
      <w:bookmarkEnd w:id="52"/>
      <w:r>
        <w:rPr>
          <w:rFonts w:ascii="仿宋" w:eastAsia="仿宋" w:hAnsi="仿宋" w:cs="仿宋" w:hint="eastAsia"/>
          <w:sz w:val="32"/>
          <w:szCs w:val="32"/>
        </w:rPr>
        <w:t>目标：</w:t>
      </w:r>
      <w:bookmarkStart w:id="53" w:name="_Toc5082_WPSOffice_Level2"/>
      <w:r>
        <w:rPr>
          <w:rFonts w:ascii="仿宋" w:eastAsia="仿宋" w:hAnsi="仿宋" w:cs="仿宋" w:hint="eastAsia"/>
          <w:sz w:val="32"/>
          <w:szCs w:val="32"/>
        </w:rPr>
        <w:t>充分运用5G、大数据、人工智能、区块链、物联网等科技支撑，以网格化服务管理和心连网为主要抓手和落脚点推进城乡基层治理制度创新和能力建设，拓宽群众参与基层治理渠道，提高基层群众服务水平。通过心联网服务体系搭建，彻底解决群众服务的渠道较多，分散不统一，信息不全，内容形式少的问题，逐步实现为基层群众提供精准化、精细化服务，为共建共治共享的社会治理制度奠定良好基础。</w:t>
      </w:r>
    </w:p>
    <w:p w:rsidR="000C378E" w:rsidRDefault="001F3B29">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可持续影响</w:t>
      </w:r>
      <w:bookmarkEnd w:id="53"/>
      <w:r>
        <w:rPr>
          <w:rFonts w:ascii="仿宋" w:eastAsia="仿宋" w:hAnsi="仿宋" w:cs="仿宋" w:hint="eastAsia"/>
          <w:sz w:val="32"/>
          <w:szCs w:val="32"/>
        </w:rPr>
        <w:t>目标：通过协调一致的调度指挥体系建设，充分整合现有资源，打造多维感知立体防控体系，实现基层社会治理全域可视、全域可控，提高基层社会治理应急指挥处置能力，提升整体联动效能，解决了目前资源整合不够、应用联动难、工作协调机制不足的问题，实现高县的基层治理决策体系智能化、联动化、信息化。</w:t>
      </w:r>
    </w:p>
    <w:p w:rsidR="000C378E" w:rsidRDefault="001F3B29">
      <w:pPr>
        <w:snapToGrid w:val="0"/>
        <w:spacing w:line="360" w:lineRule="auto"/>
        <w:outlineLvl w:val="0"/>
        <w:rPr>
          <w:rFonts w:ascii="仿宋" w:eastAsia="仿宋" w:hAnsi="仿宋" w:cs="仿宋"/>
          <w:b/>
          <w:bCs/>
          <w:sz w:val="32"/>
          <w:szCs w:val="32"/>
        </w:rPr>
      </w:pPr>
      <w:r>
        <w:rPr>
          <w:rFonts w:ascii="仿宋" w:eastAsia="仿宋" w:hAnsi="仿宋" w:cs="仿宋" w:hint="eastAsia"/>
          <w:b/>
          <w:bCs/>
          <w:sz w:val="32"/>
          <w:szCs w:val="32"/>
        </w:rPr>
        <w:t>六、潜在影响项目的风险评估</w:t>
      </w:r>
    </w:p>
    <w:p w:rsidR="000C378E" w:rsidRDefault="001F3B29">
      <w:pPr>
        <w:snapToGrid w:val="0"/>
        <w:spacing w:line="360" w:lineRule="auto"/>
        <w:ind w:firstLineChars="200" w:firstLine="640"/>
        <w:rPr>
          <w:rFonts w:ascii="仿宋" w:eastAsia="仿宋" w:hAnsi="仿宋" w:cs="仿宋"/>
          <w:sz w:val="32"/>
          <w:szCs w:val="32"/>
        </w:rPr>
      </w:pPr>
      <w:bookmarkStart w:id="54" w:name="_Toc15343"/>
      <w:bookmarkStart w:id="55" w:name="_Toc522211123"/>
      <w:r>
        <w:rPr>
          <w:rFonts w:ascii="仿宋" w:eastAsia="仿宋" w:hAnsi="仿宋" w:cs="仿宋" w:hint="eastAsia"/>
          <w:sz w:val="32"/>
          <w:szCs w:val="32"/>
        </w:rPr>
        <w:t>1.经营风险</w:t>
      </w:r>
      <w:bookmarkEnd w:id="54"/>
      <w:bookmarkEnd w:id="55"/>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风险识别：经营风险是指生产经营的不确定性带来的风险。若项目投入运营后的产生的收入未能达到预测值，将影响项目整体收益，对债券还本付息产生影响。</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风险控制措施：要求项目管理单位密切关注停车场行业的定价情况，保证还本付息资金。</w:t>
      </w:r>
      <w:bookmarkStart w:id="56" w:name="_Toc522211124"/>
      <w:bookmarkStart w:id="57" w:name="_Toc4440"/>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2.市场风险</w:t>
      </w:r>
      <w:bookmarkEnd w:id="56"/>
      <w:bookmarkEnd w:id="57"/>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风险控制措施：要求项目单位合理安排债券发行金额和债券期限，做好债券的期限配比、还款计划和资金准备。密切关注宏观经济市场，充分与市场机构沟通，选择合适的发行窗口，降低财务成本，保证项目收益与融资平衡。</w:t>
      </w:r>
    </w:p>
    <w:p w:rsidR="000C378E" w:rsidRDefault="001F3B29">
      <w:pPr>
        <w:snapToGrid w:val="0"/>
        <w:spacing w:line="360" w:lineRule="auto"/>
        <w:ind w:firstLineChars="200" w:firstLine="640"/>
        <w:rPr>
          <w:rFonts w:ascii="仿宋" w:eastAsia="仿宋" w:hAnsi="仿宋" w:cs="仿宋"/>
          <w:sz w:val="32"/>
          <w:szCs w:val="32"/>
        </w:rPr>
      </w:pPr>
      <w:bookmarkStart w:id="58" w:name="_Toc522211125"/>
      <w:bookmarkStart w:id="59" w:name="_Toc15747"/>
      <w:r>
        <w:rPr>
          <w:rFonts w:ascii="仿宋" w:eastAsia="仿宋" w:hAnsi="仿宋" w:cs="仿宋" w:hint="eastAsia"/>
          <w:sz w:val="32"/>
          <w:szCs w:val="32"/>
        </w:rPr>
        <w:lastRenderedPageBreak/>
        <w:t>3.财务风险</w:t>
      </w:r>
      <w:bookmarkEnd w:id="58"/>
      <w:bookmarkEnd w:id="59"/>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风险识别：项目建设周期内，如果在项目建设过程中，受市场因素影响，项目施工所需的原材料价格上涨，将导致项目施工成本增加，财务负担加重，进而影响项目建设进度，以及项目建设期内专项债券的利息兑付，因此面临一定财务风险。</w:t>
      </w:r>
    </w:p>
    <w:p w:rsidR="000C378E" w:rsidRDefault="001F3B2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风险控制措施：项目可行性研究报告编制过程中，在测算项目总投资时已考虑相关风险。同时，在项目建设过程中，加强项目施工预算管理、招标及合同管理，尽可能控制建设成本。</w:t>
      </w:r>
    </w:p>
    <w:p w:rsidR="000C378E" w:rsidRDefault="001F3B29">
      <w:pPr>
        <w:snapToGrid w:val="0"/>
        <w:spacing w:line="360" w:lineRule="auto"/>
        <w:outlineLvl w:val="0"/>
        <w:rPr>
          <w:rFonts w:ascii="仿宋" w:eastAsia="仿宋" w:hAnsi="仿宋" w:cs="仿宋"/>
          <w:b/>
          <w:bCs/>
          <w:sz w:val="32"/>
          <w:szCs w:val="32"/>
        </w:rPr>
      </w:pPr>
      <w:r>
        <w:rPr>
          <w:rFonts w:ascii="仿宋" w:eastAsia="仿宋" w:hAnsi="仿宋" w:cs="仿宋" w:hint="eastAsia"/>
          <w:b/>
          <w:bCs/>
          <w:sz w:val="32"/>
          <w:szCs w:val="32"/>
        </w:rPr>
        <w:t>七、还款保障情况</w:t>
      </w:r>
    </w:p>
    <w:p w:rsidR="000C378E" w:rsidRDefault="001F3B29">
      <w:pPr>
        <w:snapToGrid w:val="0"/>
        <w:spacing w:line="360" w:lineRule="auto"/>
        <w:ind w:firstLine="640"/>
        <w:outlineLvl w:val="0"/>
        <w:rPr>
          <w:rFonts w:ascii="仿宋" w:eastAsia="仿宋" w:hAnsi="仿宋" w:cs="仿宋"/>
          <w:sz w:val="32"/>
          <w:szCs w:val="32"/>
        </w:rPr>
      </w:pPr>
      <w:r>
        <w:rPr>
          <w:rFonts w:ascii="仿宋" w:eastAsia="仿宋" w:hAnsi="仿宋" w:cs="仿宋" w:hint="eastAsia"/>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rsidR="000C378E" w:rsidRDefault="000C378E">
      <w:pPr>
        <w:pStyle w:val="a0"/>
        <w:rPr>
          <w:rFonts w:ascii="仿宋" w:eastAsia="仿宋" w:hAnsi="仿宋" w:cs="仿宋"/>
          <w:sz w:val="32"/>
          <w:szCs w:val="32"/>
        </w:rPr>
      </w:pPr>
    </w:p>
    <w:p w:rsidR="000C378E" w:rsidRDefault="000C378E">
      <w:pPr>
        <w:pStyle w:val="a0"/>
        <w:rPr>
          <w:rFonts w:ascii="仿宋" w:eastAsia="仿宋" w:hAnsi="仿宋" w:cs="仿宋"/>
          <w:sz w:val="32"/>
          <w:szCs w:val="32"/>
        </w:rPr>
      </w:pPr>
    </w:p>
    <w:p w:rsidR="000C378E" w:rsidRDefault="001F3B29">
      <w:pPr>
        <w:snapToGrid w:val="0"/>
        <w:spacing w:line="360" w:lineRule="auto"/>
        <w:ind w:firstLine="640"/>
        <w:outlineLvl w:val="0"/>
        <w:rPr>
          <w:rFonts w:ascii="仿宋" w:eastAsia="仿宋" w:hAnsi="仿宋" w:cs="仿宋"/>
          <w:b/>
          <w:bCs/>
          <w:sz w:val="32"/>
          <w:szCs w:val="32"/>
        </w:rPr>
      </w:pPr>
      <w:r>
        <w:rPr>
          <w:rFonts w:ascii="仿宋" w:eastAsia="仿宋" w:hAnsi="仿宋" w:cs="仿宋" w:hint="eastAsia"/>
          <w:b/>
          <w:bCs/>
          <w:sz w:val="32"/>
          <w:szCs w:val="32"/>
        </w:rPr>
        <w:lastRenderedPageBreak/>
        <w:t>八、主管部门责任</w:t>
      </w:r>
    </w:p>
    <w:p w:rsidR="000C378E" w:rsidRDefault="001F3B29" w:rsidP="00235AF0">
      <w:pPr>
        <w:snapToGrid w:val="0"/>
        <w:spacing w:beforeLines="50" w:afterLines="50" w:line="360" w:lineRule="auto"/>
        <w:ind w:firstLineChars="200" w:firstLine="640"/>
        <w:rPr>
          <w:rFonts w:ascii="仿宋" w:eastAsia="仿宋" w:hAnsi="仿宋" w:cs="仿宋"/>
          <w:sz w:val="32"/>
          <w:szCs w:val="32"/>
        </w:rPr>
      </w:pPr>
      <w:r>
        <w:rPr>
          <w:rFonts w:ascii="仿宋" w:eastAsia="仿宋" w:hAnsi="仿宋" w:cs="仿宋" w:hint="eastAsia"/>
          <w:sz w:val="32"/>
          <w:szCs w:val="32"/>
        </w:rPr>
        <w:t>高县县域社会治理新型基础设施现代化建设信息化项目的主管部门为中国共产党高县委员会政法委员会，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rsidR="000C378E" w:rsidRDefault="001F3B29" w:rsidP="00235AF0">
      <w:pPr>
        <w:snapToGrid w:val="0"/>
        <w:spacing w:afterLines="100" w:line="240" w:lineRule="atLeast"/>
        <w:outlineLvl w:val="0"/>
        <w:rPr>
          <w:rFonts w:ascii="仿宋" w:eastAsia="仿宋" w:hAnsi="仿宋" w:cs="仿宋"/>
          <w:b/>
          <w:bCs/>
          <w:sz w:val="32"/>
          <w:szCs w:val="32"/>
        </w:rPr>
      </w:pPr>
      <w:r>
        <w:rPr>
          <w:rFonts w:ascii="仿宋" w:eastAsia="仿宋" w:hAnsi="仿宋" w:cs="仿宋" w:hint="eastAsia"/>
          <w:b/>
          <w:bCs/>
          <w:sz w:val="32"/>
          <w:szCs w:val="32"/>
        </w:rPr>
        <w:t>九、补充说明</w:t>
      </w:r>
    </w:p>
    <w:p w:rsidR="000C378E" w:rsidRPr="00854B08" w:rsidRDefault="001F3B29" w:rsidP="00854B08">
      <w:pPr>
        <w:spacing w:line="560" w:lineRule="exact"/>
        <w:ind w:firstLineChars="200" w:firstLine="630"/>
        <w:rPr>
          <w:rFonts w:ascii="仿宋_GB2312" w:eastAsia="仿宋_GB2312" w:hAnsi="仿宋_GB2312"/>
          <w:w w:val="99"/>
          <w:sz w:val="32"/>
          <w:szCs w:val="32"/>
        </w:rPr>
      </w:pPr>
      <w:r>
        <w:rPr>
          <w:rFonts w:ascii="仿宋_GB2312" w:eastAsia="仿宋_GB2312" w:hAnsi="仿宋_GB2312" w:hint="eastAsia"/>
          <w:w w:val="99"/>
          <w:sz w:val="32"/>
          <w:szCs w:val="32"/>
        </w:rPr>
        <w:t>根据发行计划及额度安排,此项目2022年拟申请发行18000.00万元，本次拟</w:t>
      </w:r>
      <w:r w:rsidRPr="00C22A60">
        <w:rPr>
          <w:rFonts w:ascii="仿宋" w:eastAsia="仿宋" w:hAnsi="仿宋" w:cs="仿宋" w:hint="eastAsia"/>
          <w:sz w:val="32"/>
          <w:szCs w:val="32"/>
        </w:rPr>
        <w:t>发行</w:t>
      </w:r>
      <w:r w:rsidR="00222B81" w:rsidRPr="00C22A60">
        <w:rPr>
          <w:rFonts w:ascii="仿宋" w:eastAsia="仿宋" w:hAnsi="仿宋" w:cs="仿宋" w:hint="eastAsia"/>
          <w:sz w:val="32"/>
          <w:szCs w:val="32"/>
        </w:rPr>
        <w:t>5600</w:t>
      </w:r>
      <w:r w:rsidRPr="00C22A60">
        <w:rPr>
          <w:rFonts w:ascii="仿宋" w:eastAsia="仿宋" w:hAnsi="仿宋" w:cs="仿宋" w:hint="eastAsia"/>
          <w:sz w:val="32"/>
          <w:szCs w:val="32"/>
        </w:rPr>
        <w:t>万元，</w:t>
      </w:r>
      <w:r>
        <w:rPr>
          <w:rFonts w:ascii="仿宋_GB2312" w:eastAsia="仿宋_GB2312" w:hAnsi="仿宋_GB2312" w:hint="eastAsia"/>
          <w:w w:val="99"/>
          <w:sz w:val="32"/>
          <w:szCs w:val="32"/>
        </w:rPr>
        <w:t>期限15年。</w:t>
      </w:r>
      <w:r w:rsidR="00235AF0" w:rsidRPr="00235AF0">
        <w:rPr>
          <w:rFonts w:ascii="仿宋_GB2312" w:eastAsia="仿宋_GB2312" w:hAnsi="仿宋_GB2312" w:hint="eastAsia"/>
          <w:w w:val="99"/>
          <w:sz w:val="32"/>
          <w:szCs w:val="32"/>
        </w:rPr>
        <w:t>该项目实施内容及收益来源未发生变动，在不超过项目债券总需求情况下，债券跨年发行对项目整体融资平衡不构成实质影响。</w:t>
      </w:r>
    </w:p>
    <w:sectPr w:rsidR="000C378E" w:rsidRPr="00854B08" w:rsidSect="000C378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2D7" w:rsidRDefault="008D42D7" w:rsidP="000C378E">
      <w:r>
        <w:separator/>
      </w:r>
    </w:p>
  </w:endnote>
  <w:endnote w:type="continuationSeparator" w:id="1">
    <w:p w:rsidR="008D42D7" w:rsidRDefault="008D42D7" w:rsidP="000C37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2D7" w:rsidRDefault="008D42D7" w:rsidP="000C378E">
      <w:r>
        <w:separator/>
      </w:r>
    </w:p>
  </w:footnote>
  <w:footnote w:type="continuationSeparator" w:id="1">
    <w:p w:rsidR="008D42D7" w:rsidRDefault="008D42D7" w:rsidP="000C37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78E" w:rsidRDefault="000C378E">
    <w:pPr>
      <w:pStyle w:val="a7"/>
      <w:pBdr>
        <w:bottom w:val="none" w:sz="0" w:space="1" w:color="auto"/>
      </w:pBdr>
    </w:pPr>
  </w:p>
  <w:p w:rsidR="000C378E" w:rsidRDefault="000C378E">
    <w:pPr>
      <w:pStyle w:val="a7"/>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9AD43B"/>
    <w:multiLevelType w:val="singleLevel"/>
    <w:tmpl w:val="669AD43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8D86938"/>
    <w:rsid w:val="000C378E"/>
    <w:rsid w:val="001F3B29"/>
    <w:rsid w:val="00222B81"/>
    <w:rsid w:val="00235AF0"/>
    <w:rsid w:val="00574096"/>
    <w:rsid w:val="00811A04"/>
    <w:rsid w:val="00852D88"/>
    <w:rsid w:val="00854B08"/>
    <w:rsid w:val="008D42D7"/>
    <w:rsid w:val="00C22A60"/>
    <w:rsid w:val="03211E2F"/>
    <w:rsid w:val="04331E06"/>
    <w:rsid w:val="065F2511"/>
    <w:rsid w:val="07367AC5"/>
    <w:rsid w:val="07E00DAD"/>
    <w:rsid w:val="0B9710C8"/>
    <w:rsid w:val="0C28576D"/>
    <w:rsid w:val="0C9F71DB"/>
    <w:rsid w:val="0E9F5D49"/>
    <w:rsid w:val="0F403F3F"/>
    <w:rsid w:val="0F970C01"/>
    <w:rsid w:val="10AD361E"/>
    <w:rsid w:val="10C67AB8"/>
    <w:rsid w:val="10F30498"/>
    <w:rsid w:val="14000243"/>
    <w:rsid w:val="142F3A0C"/>
    <w:rsid w:val="143C5CE9"/>
    <w:rsid w:val="149E359F"/>
    <w:rsid w:val="14F21B11"/>
    <w:rsid w:val="16273273"/>
    <w:rsid w:val="16C373AC"/>
    <w:rsid w:val="174B3736"/>
    <w:rsid w:val="17794E9A"/>
    <w:rsid w:val="1B655074"/>
    <w:rsid w:val="1BAA00E9"/>
    <w:rsid w:val="1C752FA8"/>
    <w:rsid w:val="20494647"/>
    <w:rsid w:val="20882AE2"/>
    <w:rsid w:val="21012DB7"/>
    <w:rsid w:val="21883F0B"/>
    <w:rsid w:val="22580D98"/>
    <w:rsid w:val="226749C5"/>
    <w:rsid w:val="267C63A9"/>
    <w:rsid w:val="27144EB9"/>
    <w:rsid w:val="27B063AD"/>
    <w:rsid w:val="28D9664C"/>
    <w:rsid w:val="29EA2A61"/>
    <w:rsid w:val="2BEC4EBD"/>
    <w:rsid w:val="2D42513A"/>
    <w:rsid w:val="307E6B40"/>
    <w:rsid w:val="308B2FE5"/>
    <w:rsid w:val="31D3603B"/>
    <w:rsid w:val="32C24A76"/>
    <w:rsid w:val="33221A86"/>
    <w:rsid w:val="33714496"/>
    <w:rsid w:val="33AA0A59"/>
    <w:rsid w:val="34C31017"/>
    <w:rsid w:val="35AB4A69"/>
    <w:rsid w:val="39FF3A59"/>
    <w:rsid w:val="3CF4354C"/>
    <w:rsid w:val="3D774A5E"/>
    <w:rsid w:val="3E183E08"/>
    <w:rsid w:val="3F30796D"/>
    <w:rsid w:val="41784F1A"/>
    <w:rsid w:val="419826B8"/>
    <w:rsid w:val="435B4E62"/>
    <w:rsid w:val="44717283"/>
    <w:rsid w:val="44831B58"/>
    <w:rsid w:val="45322949"/>
    <w:rsid w:val="453612E4"/>
    <w:rsid w:val="45B7128B"/>
    <w:rsid w:val="463013DA"/>
    <w:rsid w:val="46430415"/>
    <w:rsid w:val="46FC37FB"/>
    <w:rsid w:val="48D86938"/>
    <w:rsid w:val="49B9783E"/>
    <w:rsid w:val="4C2C03C5"/>
    <w:rsid w:val="4C6805C4"/>
    <w:rsid w:val="4D5452D4"/>
    <w:rsid w:val="50892D33"/>
    <w:rsid w:val="51434005"/>
    <w:rsid w:val="52DF6E63"/>
    <w:rsid w:val="52F80229"/>
    <w:rsid w:val="54EE5EC9"/>
    <w:rsid w:val="55BD1873"/>
    <w:rsid w:val="57704141"/>
    <w:rsid w:val="57D77DF3"/>
    <w:rsid w:val="58B113F0"/>
    <w:rsid w:val="5C4A7489"/>
    <w:rsid w:val="5D132A66"/>
    <w:rsid w:val="5EFF5AAC"/>
    <w:rsid w:val="63B65809"/>
    <w:rsid w:val="66222E0C"/>
    <w:rsid w:val="66441FBE"/>
    <w:rsid w:val="668A1EEA"/>
    <w:rsid w:val="687D425F"/>
    <w:rsid w:val="6DDB126D"/>
    <w:rsid w:val="6DEA4C9E"/>
    <w:rsid w:val="6EB35A2C"/>
    <w:rsid w:val="70D25977"/>
    <w:rsid w:val="71816A39"/>
    <w:rsid w:val="73572443"/>
    <w:rsid w:val="746E217E"/>
    <w:rsid w:val="74BF5585"/>
    <w:rsid w:val="76130E08"/>
    <w:rsid w:val="76EB4CB7"/>
    <w:rsid w:val="77B25D4B"/>
    <w:rsid w:val="78413722"/>
    <w:rsid w:val="792E7798"/>
    <w:rsid w:val="79371441"/>
    <w:rsid w:val="7A5E34C4"/>
    <w:rsid w:val="7B360CB0"/>
    <w:rsid w:val="7B8B136B"/>
    <w:rsid w:val="7C02759D"/>
    <w:rsid w:val="7C1A27EF"/>
    <w:rsid w:val="7E6C267F"/>
    <w:rsid w:val="7FB57784"/>
    <w:rsid w:val="7FC10B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header" w:uiPriority="99" w:qFormat="1"/>
    <w:lsdException w:name="footer" w:uiPriority="99"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Body Text Indent" w:uiPriority="99" w:unhideWhenUsed="1" w:qFormat="1"/>
    <w:lsdException w:name="Subtitle" w:qFormat="1"/>
    <w:lsdException w:name="Body Text First Indent 2" w:qFormat="1"/>
    <w:lsdException w:name="Block Text"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C378E"/>
    <w:pPr>
      <w:widowControl w:val="0"/>
      <w:jc w:val="both"/>
    </w:pPr>
    <w:rPr>
      <w:rFonts w:ascii="Calibri" w:hAnsi="Calibri"/>
      <w:kern w:val="2"/>
      <w:sz w:val="21"/>
      <w:szCs w:val="24"/>
    </w:rPr>
  </w:style>
  <w:style w:type="paragraph" w:styleId="3">
    <w:name w:val="heading 3"/>
    <w:basedOn w:val="a"/>
    <w:next w:val="a"/>
    <w:uiPriority w:val="9"/>
    <w:unhideWhenUsed/>
    <w:qFormat/>
    <w:rsid w:val="000C378E"/>
    <w:pPr>
      <w:keepNext/>
      <w:keepLines/>
      <w:spacing w:before="260" w:after="260" w:line="416" w:lineRule="auto"/>
      <w:outlineLvl w:val="2"/>
    </w:pPr>
    <w:rPr>
      <w:b/>
      <w:bCs/>
      <w:sz w:val="32"/>
      <w:szCs w:val="32"/>
    </w:rPr>
  </w:style>
  <w:style w:type="paragraph" w:styleId="4">
    <w:name w:val="heading 4"/>
    <w:basedOn w:val="a"/>
    <w:next w:val="a"/>
    <w:qFormat/>
    <w:rsid w:val="000C378E"/>
    <w:pPr>
      <w:keepNext/>
      <w:keepLines/>
      <w:spacing w:before="280" w:after="290"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qFormat/>
    <w:rsid w:val="000C378E"/>
    <w:pPr>
      <w:spacing w:line="300" w:lineRule="exact"/>
      <w:ind w:leftChars="-50" w:left="-105" w:rightChars="-50" w:right="-105"/>
      <w:jc w:val="center"/>
    </w:pPr>
    <w:rPr>
      <w:rFonts w:ascii="宋体" w:hAnsi="宋体"/>
      <w:sz w:val="18"/>
      <w:szCs w:val="20"/>
    </w:rPr>
  </w:style>
  <w:style w:type="paragraph" w:styleId="a4">
    <w:name w:val="Body Text"/>
    <w:basedOn w:val="a"/>
    <w:next w:val="1"/>
    <w:uiPriority w:val="99"/>
    <w:unhideWhenUsed/>
    <w:qFormat/>
    <w:rsid w:val="000C378E"/>
    <w:pPr>
      <w:spacing w:before="100" w:beforeAutospacing="1" w:after="120"/>
    </w:pPr>
  </w:style>
  <w:style w:type="paragraph" w:styleId="1">
    <w:name w:val="toc 1"/>
    <w:basedOn w:val="a"/>
    <w:next w:val="a"/>
    <w:uiPriority w:val="39"/>
    <w:unhideWhenUsed/>
    <w:qFormat/>
    <w:rsid w:val="000C378E"/>
    <w:pPr>
      <w:tabs>
        <w:tab w:val="right" w:leader="dot" w:pos="8296"/>
      </w:tabs>
      <w:jc w:val="center"/>
    </w:pPr>
    <w:rPr>
      <w:rFonts w:ascii="仿宋" w:eastAsia="仿宋" w:hAnsi="仿宋"/>
      <w:b/>
      <w:bCs/>
      <w:sz w:val="22"/>
      <w:szCs w:val="28"/>
    </w:rPr>
  </w:style>
  <w:style w:type="paragraph" w:styleId="a5">
    <w:name w:val="Body Text Indent"/>
    <w:basedOn w:val="a"/>
    <w:uiPriority w:val="99"/>
    <w:unhideWhenUsed/>
    <w:qFormat/>
    <w:rsid w:val="000C378E"/>
    <w:pPr>
      <w:spacing w:after="120"/>
      <w:ind w:leftChars="200" w:left="420"/>
    </w:pPr>
  </w:style>
  <w:style w:type="paragraph" w:styleId="a6">
    <w:name w:val="footer"/>
    <w:basedOn w:val="a"/>
    <w:uiPriority w:val="99"/>
    <w:unhideWhenUsed/>
    <w:qFormat/>
    <w:rsid w:val="000C378E"/>
    <w:pPr>
      <w:tabs>
        <w:tab w:val="center" w:pos="4153"/>
        <w:tab w:val="right" w:pos="8306"/>
      </w:tabs>
      <w:snapToGrid w:val="0"/>
    </w:pPr>
    <w:rPr>
      <w:sz w:val="18"/>
      <w:szCs w:val="18"/>
    </w:rPr>
  </w:style>
  <w:style w:type="paragraph" w:styleId="a7">
    <w:name w:val="header"/>
    <w:basedOn w:val="a"/>
    <w:uiPriority w:val="99"/>
    <w:qFormat/>
    <w:rsid w:val="000C378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0C378E"/>
    <w:pPr>
      <w:spacing w:before="100" w:beforeAutospacing="1" w:after="100" w:afterAutospacing="1"/>
      <w:jc w:val="left"/>
    </w:pPr>
    <w:rPr>
      <w:kern w:val="0"/>
      <w:sz w:val="24"/>
    </w:rPr>
  </w:style>
  <w:style w:type="paragraph" w:styleId="2">
    <w:name w:val="Body Text First Indent 2"/>
    <w:basedOn w:val="a5"/>
    <w:qFormat/>
    <w:rsid w:val="000C378E"/>
    <w:pPr>
      <w:ind w:firstLineChars="200" w:firstLine="420"/>
    </w:pPr>
  </w:style>
  <w:style w:type="character" w:styleId="a9">
    <w:name w:val="Strong"/>
    <w:basedOn w:val="a1"/>
    <w:qFormat/>
    <w:rsid w:val="000C378E"/>
    <w:rPr>
      <w:b/>
    </w:rPr>
  </w:style>
  <w:style w:type="paragraph" w:styleId="aa">
    <w:name w:val="Balloon Text"/>
    <w:basedOn w:val="a"/>
    <w:link w:val="Char"/>
    <w:rsid w:val="00222B81"/>
    <w:rPr>
      <w:sz w:val="18"/>
      <w:szCs w:val="18"/>
    </w:rPr>
  </w:style>
  <w:style w:type="character" w:customStyle="1" w:styleId="Char">
    <w:name w:val="批注框文本 Char"/>
    <w:basedOn w:val="a1"/>
    <w:link w:val="aa"/>
    <w:rsid w:val="00222B8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650</Words>
  <Characters>3708</Characters>
  <Application>Microsoft Office Word</Application>
  <DocSecurity>0</DocSecurity>
  <Lines>30</Lines>
  <Paragraphs>8</Paragraphs>
  <ScaleCrop>false</ScaleCrop>
  <Company>China</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浪漫是一种病</dc:creator>
  <cp:lastModifiedBy>Microsoft</cp:lastModifiedBy>
  <cp:revision>3</cp:revision>
  <dcterms:created xsi:type="dcterms:W3CDTF">2020-08-10T02:22:00Z</dcterms:created>
  <dcterms:modified xsi:type="dcterms:W3CDTF">2022-02-10T01:16:00Z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EB22507D93194C52B938617D51649DFC</vt:lpwstr>
  </property>
</Properties>
</file>